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r w:rsidRPr="00546546">
        <w:rPr>
          <w:sz w:val="40"/>
        </w:rPr>
        <w:drawing>
          <wp:inline distT="0" distB="0" distL="0" distR="0">
            <wp:extent cx="2808312" cy="184083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2808312" cy="1840839"/>
                    </a:xfrm>
                    <a:prstGeom prst="rect">
                      <a:avLst/>
                    </a:prstGeom>
                    <a:ln>
                      <a:noFill/>
                    </a:ln>
                    <a:effectLst>
                      <a:softEdge rad="112500"/>
                    </a:effectLst>
                  </pic:spPr>
                </pic:pic>
              </a:graphicData>
            </a:graphic>
          </wp:inline>
        </w:drawing>
      </w:r>
    </w:p>
    <w:p w:rsidR="00546546" w:rsidRDefault="00546546" w:rsidP="00546546">
      <w:pPr>
        <w:jc w:val="center"/>
        <w:rPr>
          <w:sz w:val="40"/>
        </w:rPr>
      </w:pPr>
    </w:p>
    <w:p w:rsidR="00C45E78" w:rsidRPr="00546546" w:rsidRDefault="00546546" w:rsidP="00546546">
      <w:pPr>
        <w:jc w:val="center"/>
        <w:rPr>
          <w:rFonts w:ascii="Comic Sans MS" w:hAnsi="Comic Sans MS"/>
          <w:b/>
          <w:sz w:val="40"/>
        </w:rPr>
      </w:pPr>
      <w:r w:rsidRPr="00546546">
        <w:rPr>
          <w:rFonts w:ascii="Comic Sans MS" w:hAnsi="Comic Sans MS"/>
          <w:b/>
          <w:sz w:val="40"/>
        </w:rPr>
        <w:t>OVERTON PLAYCENTRE</w:t>
      </w:r>
    </w:p>
    <w:p w:rsidR="00546546" w:rsidRDefault="00546546" w:rsidP="00546546">
      <w:pPr>
        <w:jc w:val="center"/>
        <w:rPr>
          <w:sz w:val="40"/>
        </w:rPr>
      </w:pPr>
    </w:p>
    <w:p w:rsidR="00546546" w:rsidRDefault="00546546" w:rsidP="00546546">
      <w:pPr>
        <w:jc w:val="center"/>
        <w:rPr>
          <w:sz w:val="40"/>
        </w:rPr>
      </w:pPr>
    </w:p>
    <w:p w:rsidR="00546546" w:rsidRPr="00546546" w:rsidRDefault="00546546" w:rsidP="00546546">
      <w:pPr>
        <w:jc w:val="center"/>
        <w:rPr>
          <w:b/>
          <w:sz w:val="40"/>
        </w:rPr>
      </w:pPr>
      <w:r w:rsidRPr="00546546">
        <w:rPr>
          <w:b/>
          <w:sz w:val="40"/>
        </w:rPr>
        <w:t>Risk Assessment Procedure</w:t>
      </w: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Pr="00546546" w:rsidRDefault="00546546" w:rsidP="00546546">
      <w:pPr>
        <w:rPr>
          <w:sz w:val="28"/>
        </w:rPr>
      </w:pPr>
      <w:r w:rsidRPr="00546546">
        <w:rPr>
          <w:sz w:val="28"/>
        </w:rPr>
        <w:t>Document History</w:t>
      </w:r>
    </w:p>
    <w:tbl>
      <w:tblPr>
        <w:tblStyle w:val="TableGrid"/>
        <w:tblW w:w="0" w:type="auto"/>
        <w:tblLook w:val="04A0"/>
      </w:tblPr>
      <w:tblGrid>
        <w:gridCol w:w="3080"/>
        <w:gridCol w:w="3081"/>
        <w:gridCol w:w="3081"/>
      </w:tblGrid>
      <w:tr w:rsidR="00546546" w:rsidRPr="00546546" w:rsidTr="00546546">
        <w:tc>
          <w:tcPr>
            <w:tcW w:w="3080" w:type="dxa"/>
          </w:tcPr>
          <w:p w:rsidR="00546546" w:rsidRPr="00546546" w:rsidRDefault="00546546" w:rsidP="00546546">
            <w:pPr>
              <w:rPr>
                <w:sz w:val="28"/>
              </w:rPr>
            </w:pPr>
            <w:r w:rsidRPr="00546546">
              <w:rPr>
                <w:sz w:val="28"/>
              </w:rPr>
              <w:t>Date</w:t>
            </w:r>
          </w:p>
        </w:tc>
        <w:tc>
          <w:tcPr>
            <w:tcW w:w="3081" w:type="dxa"/>
          </w:tcPr>
          <w:p w:rsidR="00546546" w:rsidRPr="00546546" w:rsidRDefault="00546546" w:rsidP="00546546">
            <w:pPr>
              <w:rPr>
                <w:sz w:val="28"/>
              </w:rPr>
            </w:pPr>
            <w:r w:rsidRPr="00546546">
              <w:rPr>
                <w:sz w:val="28"/>
              </w:rPr>
              <w:t>Approved By Committee (signed by Chair)</w:t>
            </w:r>
          </w:p>
        </w:tc>
        <w:tc>
          <w:tcPr>
            <w:tcW w:w="3081" w:type="dxa"/>
          </w:tcPr>
          <w:p w:rsidR="00546546" w:rsidRPr="00546546" w:rsidRDefault="00546546" w:rsidP="00546546">
            <w:pPr>
              <w:rPr>
                <w:sz w:val="28"/>
              </w:rPr>
            </w:pPr>
            <w:r w:rsidRPr="00546546">
              <w:rPr>
                <w:sz w:val="28"/>
              </w:rPr>
              <w:t>Revision Date</w:t>
            </w:r>
          </w:p>
        </w:tc>
      </w:tr>
      <w:tr w:rsidR="00546546" w:rsidRPr="00546546" w:rsidTr="00546546">
        <w:tc>
          <w:tcPr>
            <w:tcW w:w="3080" w:type="dxa"/>
          </w:tcPr>
          <w:p w:rsidR="00546546" w:rsidRPr="00546546" w:rsidRDefault="00546546" w:rsidP="00546546">
            <w:pPr>
              <w:rPr>
                <w:sz w:val="28"/>
              </w:rPr>
            </w:pPr>
          </w:p>
        </w:tc>
        <w:tc>
          <w:tcPr>
            <w:tcW w:w="3081" w:type="dxa"/>
          </w:tcPr>
          <w:p w:rsidR="00546546" w:rsidRPr="00546546" w:rsidRDefault="00546546" w:rsidP="00546546">
            <w:pPr>
              <w:rPr>
                <w:sz w:val="28"/>
              </w:rPr>
            </w:pPr>
          </w:p>
        </w:tc>
        <w:tc>
          <w:tcPr>
            <w:tcW w:w="3081" w:type="dxa"/>
          </w:tcPr>
          <w:p w:rsidR="00546546" w:rsidRPr="00546546" w:rsidRDefault="00546546" w:rsidP="00546546">
            <w:pPr>
              <w:rPr>
                <w:sz w:val="28"/>
              </w:rPr>
            </w:pPr>
          </w:p>
        </w:tc>
      </w:tr>
      <w:tr w:rsidR="00546546" w:rsidRPr="00546546" w:rsidTr="00546546">
        <w:tc>
          <w:tcPr>
            <w:tcW w:w="3080" w:type="dxa"/>
          </w:tcPr>
          <w:p w:rsidR="00546546" w:rsidRPr="00546546" w:rsidRDefault="00546546" w:rsidP="00546546">
            <w:pPr>
              <w:rPr>
                <w:sz w:val="28"/>
              </w:rPr>
            </w:pPr>
          </w:p>
        </w:tc>
        <w:tc>
          <w:tcPr>
            <w:tcW w:w="3081" w:type="dxa"/>
          </w:tcPr>
          <w:p w:rsidR="00546546" w:rsidRPr="00546546" w:rsidRDefault="00546546" w:rsidP="00546546">
            <w:pPr>
              <w:rPr>
                <w:sz w:val="28"/>
              </w:rPr>
            </w:pPr>
          </w:p>
        </w:tc>
        <w:tc>
          <w:tcPr>
            <w:tcW w:w="3081" w:type="dxa"/>
          </w:tcPr>
          <w:p w:rsidR="00546546" w:rsidRPr="00546546" w:rsidRDefault="00546546" w:rsidP="00546546">
            <w:pPr>
              <w:rPr>
                <w:sz w:val="28"/>
              </w:rPr>
            </w:pPr>
          </w:p>
        </w:tc>
      </w:tr>
      <w:tr w:rsidR="00546546" w:rsidRPr="00546546" w:rsidTr="00546546">
        <w:tc>
          <w:tcPr>
            <w:tcW w:w="3080" w:type="dxa"/>
          </w:tcPr>
          <w:p w:rsidR="00546546" w:rsidRPr="00546546" w:rsidRDefault="00546546" w:rsidP="00546546">
            <w:pPr>
              <w:rPr>
                <w:sz w:val="28"/>
              </w:rPr>
            </w:pPr>
          </w:p>
        </w:tc>
        <w:tc>
          <w:tcPr>
            <w:tcW w:w="3081" w:type="dxa"/>
          </w:tcPr>
          <w:p w:rsidR="00546546" w:rsidRPr="00546546" w:rsidRDefault="00546546" w:rsidP="00546546">
            <w:pPr>
              <w:rPr>
                <w:sz w:val="28"/>
              </w:rPr>
            </w:pPr>
          </w:p>
        </w:tc>
        <w:tc>
          <w:tcPr>
            <w:tcW w:w="3081" w:type="dxa"/>
          </w:tcPr>
          <w:p w:rsidR="00546546" w:rsidRPr="00546546" w:rsidRDefault="00546546" w:rsidP="00546546">
            <w:pPr>
              <w:rPr>
                <w:sz w:val="28"/>
              </w:rPr>
            </w:pPr>
          </w:p>
        </w:tc>
      </w:tr>
      <w:tr w:rsidR="00546546" w:rsidRPr="00546546" w:rsidTr="00546546">
        <w:tc>
          <w:tcPr>
            <w:tcW w:w="3080" w:type="dxa"/>
          </w:tcPr>
          <w:p w:rsidR="00546546" w:rsidRPr="00546546" w:rsidRDefault="00546546" w:rsidP="00546546">
            <w:pPr>
              <w:rPr>
                <w:sz w:val="28"/>
              </w:rPr>
            </w:pPr>
          </w:p>
        </w:tc>
        <w:tc>
          <w:tcPr>
            <w:tcW w:w="3081" w:type="dxa"/>
          </w:tcPr>
          <w:p w:rsidR="00546546" w:rsidRPr="00546546" w:rsidRDefault="00546546" w:rsidP="00546546">
            <w:pPr>
              <w:rPr>
                <w:sz w:val="28"/>
              </w:rPr>
            </w:pPr>
          </w:p>
        </w:tc>
        <w:tc>
          <w:tcPr>
            <w:tcW w:w="3081" w:type="dxa"/>
          </w:tcPr>
          <w:p w:rsidR="00546546" w:rsidRPr="00546546" w:rsidRDefault="00546546" w:rsidP="00546546">
            <w:pPr>
              <w:rPr>
                <w:sz w:val="28"/>
              </w:rPr>
            </w:pPr>
          </w:p>
        </w:tc>
      </w:tr>
    </w:tbl>
    <w:p w:rsidR="00546546" w:rsidRDefault="00546546" w:rsidP="00546546">
      <w:pPr>
        <w:rPr>
          <w:sz w:val="28"/>
          <w:szCs w:val="28"/>
        </w:rPr>
      </w:pPr>
    </w:p>
    <w:p w:rsidR="00546546" w:rsidRPr="000A2246" w:rsidRDefault="00546546" w:rsidP="00546546">
      <w:pPr>
        <w:rPr>
          <w:b/>
          <w:sz w:val="24"/>
          <w:szCs w:val="28"/>
        </w:rPr>
      </w:pPr>
      <w:r w:rsidRPr="000A2246">
        <w:rPr>
          <w:b/>
          <w:sz w:val="24"/>
          <w:szCs w:val="28"/>
        </w:rPr>
        <w:t xml:space="preserve">This document is approved and authorised for application within Overton </w:t>
      </w:r>
      <w:proofErr w:type="spellStart"/>
      <w:r w:rsidRPr="000A2246">
        <w:rPr>
          <w:b/>
          <w:sz w:val="24"/>
          <w:szCs w:val="28"/>
        </w:rPr>
        <w:t>Playcentre</w:t>
      </w:r>
      <w:proofErr w:type="spellEnd"/>
      <w:r w:rsidR="000A2246">
        <w:rPr>
          <w:b/>
          <w:sz w:val="24"/>
          <w:szCs w:val="28"/>
        </w:rPr>
        <w:t>.</w:t>
      </w:r>
    </w:p>
    <w:p w:rsidR="00546546" w:rsidRDefault="00546546" w:rsidP="00546546">
      <w:pP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tbl>
      <w:tblPr>
        <w:tblStyle w:val="TableGrid"/>
        <w:tblW w:w="0" w:type="auto"/>
        <w:tblLook w:val="04A0"/>
      </w:tblPr>
      <w:tblGrid>
        <w:gridCol w:w="1526"/>
        <w:gridCol w:w="7716"/>
      </w:tblGrid>
      <w:tr w:rsidR="00546546" w:rsidRPr="00854BD4" w:rsidTr="00395660">
        <w:tc>
          <w:tcPr>
            <w:tcW w:w="1526" w:type="dxa"/>
          </w:tcPr>
          <w:p w:rsidR="00546546" w:rsidRPr="00854BD4" w:rsidRDefault="00546546" w:rsidP="00395660">
            <w:pPr>
              <w:ind w:right="-108"/>
              <w:rPr>
                <w:rFonts w:cstheme="minorHAnsi"/>
                <w:b/>
              </w:rPr>
            </w:pPr>
            <w:r w:rsidRPr="00854BD4">
              <w:rPr>
                <w:rFonts w:cstheme="minorHAnsi"/>
                <w:b/>
              </w:rPr>
              <w:t>POLICY</w:t>
            </w:r>
          </w:p>
        </w:tc>
        <w:tc>
          <w:tcPr>
            <w:tcW w:w="7716" w:type="dxa"/>
          </w:tcPr>
          <w:p w:rsidR="00546546" w:rsidRPr="00854BD4" w:rsidRDefault="00546546" w:rsidP="00395660">
            <w:pPr>
              <w:jc w:val="center"/>
              <w:rPr>
                <w:rFonts w:cstheme="minorHAnsi"/>
                <w:b/>
              </w:rPr>
            </w:pPr>
            <w:r>
              <w:rPr>
                <w:rFonts w:cstheme="minorHAnsi"/>
                <w:b/>
              </w:rPr>
              <w:t>Risk Assessment Procedure</w:t>
            </w:r>
          </w:p>
        </w:tc>
      </w:tr>
      <w:tr w:rsidR="00546546" w:rsidRPr="00854BD4" w:rsidTr="00395660">
        <w:tc>
          <w:tcPr>
            <w:tcW w:w="1526" w:type="dxa"/>
          </w:tcPr>
          <w:p w:rsidR="00546546" w:rsidRPr="00854BD4" w:rsidRDefault="00546546" w:rsidP="00395660">
            <w:pPr>
              <w:rPr>
                <w:rFonts w:cstheme="minorHAnsi"/>
                <w:b/>
              </w:rPr>
            </w:pPr>
            <w:r w:rsidRPr="00854BD4">
              <w:rPr>
                <w:rFonts w:cstheme="minorHAnsi"/>
                <w:b/>
              </w:rPr>
              <w:t>SETTING</w:t>
            </w:r>
          </w:p>
        </w:tc>
        <w:tc>
          <w:tcPr>
            <w:tcW w:w="7716" w:type="dxa"/>
          </w:tcPr>
          <w:p w:rsidR="00546546" w:rsidRPr="00854BD4" w:rsidRDefault="00546546" w:rsidP="00395660">
            <w:pPr>
              <w:jc w:val="center"/>
              <w:rPr>
                <w:rFonts w:cstheme="minorHAnsi"/>
                <w:b/>
              </w:rPr>
            </w:pPr>
            <w:r w:rsidRPr="00854BD4">
              <w:rPr>
                <w:rFonts w:cstheme="minorHAnsi"/>
                <w:b/>
              </w:rPr>
              <w:t>OVERTON PLAYCENTRE</w:t>
            </w:r>
          </w:p>
        </w:tc>
      </w:tr>
      <w:tr w:rsidR="00546546" w:rsidTr="00395660">
        <w:tc>
          <w:tcPr>
            <w:tcW w:w="1526" w:type="dxa"/>
          </w:tcPr>
          <w:p w:rsidR="00546546" w:rsidRPr="00854BD4" w:rsidRDefault="00546546" w:rsidP="00395660">
            <w:pPr>
              <w:rPr>
                <w:rFonts w:cstheme="minorHAnsi"/>
                <w:b/>
              </w:rPr>
            </w:pPr>
            <w:r w:rsidRPr="00854BD4">
              <w:rPr>
                <w:rFonts w:cstheme="minorHAnsi"/>
                <w:b/>
              </w:rPr>
              <w:t>AIMS</w:t>
            </w:r>
          </w:p>
        </w:tc>
        <w:tc>
          <w:tcPr>
            <w:tcW w:w="7716" w:type="dxa"/>
          </w:tcPr>
          <w:p w:rsidR="00546546" w:rsidRDefault="000A2246" w:rsidP="000A2246">
            <w:r>
              <w:t>Risk assessment is a fundamental process for ensuring health and safety in the workplace This procedure aims to set out instructions for carrying out risk assessments. This Risk assessment is a working document, which is updated by review and is based on basic principles outlined in our Health and Safety Policy.</w:t>
            </w:r>
          </w:p>
          <w:p w:rsidR="000A2246" w:rsidRDefault="000A2246" w:rsidP="000A2246">
            <w:r>
              <w:t xml:space="preserve">The Purpose of the risk assessment is to systematically identify all hazards related to the activities undertaken at Overton </w:t>
            </w:r>
            <w:proofErr w:type="spellStart"/>
            <w:r>
              <w:t>Playcentre</w:t>
            </w:r>
            <w:proofErr w:type="spellEnd"/>
            <w:r>
              <w:t>. On identifying the hazard and who is affected by it we can look at ways to remove or use controls that will reduce the risk of the hazard occurring to as low as reasonably practicable.</w:t>
            </w:r>
          </w:p>
          <w:p w:rsidR="000A2246" w:rsidRDefault="000A2246" w:rsidP="000A2246">
            <w:r>
              <w:t>Such controls that are used to reduce hazards will be used within the daily system of work and briefed as part of training for specific tasks.</w:t>
            </w:r>
          </w:p>
        </w:tc>
      </w:tr>
      <w:tr w:rsidR="00546546" w:rsidRPr="000A2246" w:rsidTr="00395660">
        <w:tc>
          <w:tcPr>
            <w:tcW w:w="1526" w:type="dxa"/>
          </w:tcPr>
          <w:p w:rsidR="00546546" w:rsidRPr="000A2246" w:rsidRDefault="00546546" w:rsidP="00395660">
            <w:pPr>
              <w:rPr>
                <w:rFonts w:cstheme="minorHAnsi"/>
                <w:szCs w:val="20"/>
              </w:rPr>
            </w:pPr>
            <w:r w:rsidRPr="000A2246">
              <w:rPr>
                <w:rFonts w:cstheme="minorHAnsi"/>
                <w:b/>
                <w:szCs w:val="20"/>
              </w:rPr>
              <w:t>Objectives, Statements and Procedures</w:t>
            </w:r>
          </w:p>
        </w:tc>
        <w:tc>
          <w:tcPr>
            <w:tcW w:w="7716" w:type="dxa"/>
          </w:tcPr>
          <w:p w:rsidR="00546546" w:rsidRPr="000A2246" w:rsidRDefault="000A2246" w:rsidP="00395660">
            <w:pPr>
              <w:spacing w:line="360" w:lineRule="atLeast"/>
              <w:rPr>
                <w:rFonts w:eastAsia="Times New Roman" w:cstheme="minorHAnsi"/>
                <w:b/>
                <w:szCs w:val="20"/>
                <w:lang w:eastAsia="en-GB"/>
              </w:rPr>
            </w:pPr>
            <w:r w:rsidRPr="000A2246">
              <w:rPr>
                <w:rFonts w:eastAsia="Times New Roman" w:cstheme="minorHAnsi"/>
                <w:b/>
                <w:szCs w:val="20"/>
                <w:lang w:eastAsia="en-GB"/>
              </w:rPr>
              <w:t>Definitions:</w:t>
            </w:r>
          </w:p>
          <w:p w:rsidR="000A2246" w:rsidRPr="000A2246" w:rsidRDefault="000A2246" w:rsidP="000A2246">
            <w:pPr>
              <w:pStyle w:val="ListParagraph"/>
              <w:numPr>
                <w:ilvl w:val="0"/>
                <w:numId w:val="1"/>
              </w:numPr>
              <w:spacing w:line="360" w:lineRule="atLeast"/>
              <w:rPr>
                <w:rFonts w:eastAsia="Times New Roman" w:cstheme="minorHAnsi"/>
                <w:b/>
                <w:szCs w:val="20"/>
                <w:lang w:eastAsia="en-GB"/>
              </w:rPr>
            </w:pPr>
            <w:r w:rsidRPr="000A2246">
              <w:rPr>
                <w:rFonts w:eastAsia="Times New Roman" w:cstheme="minorHAnsi"/>
                <w:b/>
                <w:szCs w:val="20"/>
                <w:lang w:eastAsia="en-GB"/>
              </w:rPr>
              <w:t xml:space="preserve">Hazard: </w:t>
            </w:r>
            <w:r>
              <w:rPr>
                <w:rFonts w:eastAsia="Times New Roman" w:cstheme="minorHAnsi"/>
                <w:szCs w:val="20"/>
                <w:lang w:eastAsia="en-GB"/>
              </w:rPr>
              <w:t>The potential for something to cause harm.</w:t>
            </w:r>
          </w:p>
          <w:p w:rsidR="000A2246" w:rsidRPr="00F66722" w:rsidRDefault="000A2246" w:rsidP="00F66722">
            <w:pPr>
              <w:pStyle w:val="ListParagraph"/>
              <w:numPr>
                <w:ilvl w:val="0"/>
                <w:numId w:val="1"/>
              </w:numPr>
              <w:rPr>
                <w:rFonts w:eastAsia="Times New Roman" w:cstheme="minorHAnsi"/>
                <w:b/>
                <w:szCs w:val="20"/>
                <w:lang w:eastAsia="en-GB"/>
              </w:rPr>
            </w:pPr>
            <w:r>
              <w:rPr>
                <w:rFonts w:eastAsia="Times New Roman" w:cstheme="minorHAnsi"/>
                <w:b/>
                <w:szCs w:val="20"/>
                <w:lang w:eastAsia="en-GB"/>
              </w:rPr>
              <w:t xml:space="preserve">Risk: </w:t>
            </w:r>
            <w:r w:rsidR="00F66722">
              <w:rPr>
                <w:rFonts w:eastAsia="Times New Roman" w:cstheme="minorHAnsi"/>
                <w:szCs w:val="20"/>
                <w:lang w:eastAsia="en-GB"/>
              </w:rPr>
              <w:t>The likelihood that harm will occur in the particular circumstances. There are two main components, the likelihood of the failure occurring and the severity of the consequences.</w:t>
            </w:r>
          </w:p>
          <w:p w:rsidR="00F66722" w:rsidRPr="00F66722" w:rsidRDefault="00F66722" w:rsidP="00F66722">
            <w:pPr>
              <w:pStyle w:val="ListParagraph"/>
              <w:numPr>
                <w:ilvl w:val="0"/>
                <w:numId w:val="1"/>
              </w:numPr>
              <w:rPr>
                <w:rFonts w:eastAsia="Times New Roman" w:cstheme="minorHAnsi"/>
                <w:b/>
                <w:szCs w:val="20"/>
                <w:lang w:eastAsia="en-GB"/>
              </w:rPr>
            </w:pPr>
            <w:r>
              <w:rPr>
                <w:rFonts w:eastAsia="Times New Roman" w:cstheme="minorHAnsi"/>
                <w:b/>
                <w:szCs w:val="20"/>
                <w:lang w:eastAsia="en-GB"/>
              </w:rPr>
              <w:t xml:space="preserve">Risk Assessment: </w:t>
            </w:r>
            <w:r>
              <w:rPr>
                <w:rFonts w:eastAsia="Times New Roman" w:cstheme="minorHAnsi"/>
                <w:szCs w:val="20"/>
                <w:lang w:eastAsia="en-GB"/>
              </w:rPr>
              <w:t>Identify the hazards, evaluate and control the risks.</w:t>
            </w:r>
          </w:p>
          <w:p w:rsidR="00F66722" w:rsidRPr="00F66722" w:rsidRDefault="00F66722" w:rsidP="00F66722">
            <w:pPr>
              <w:pStyle w:val="ListParagraph"/>
              <w:numPr>
                <w:ilvl w:val="0"/>
                <w:numId w:val="1"/>
              </w:numPr>
              <w:rPr>
                <w:rFonts w:eastAsia="Times New Roman" w:cstheme="minorHAnsi"/>
                <w:b/>
                <w:szCs w:val="20"/>
                <w:lang w:eastAsia="en-GB"/>
              </w:rPr>
            </w:pPr>
            <w:r>
              <w:rPr>
                <w:rFonts w:eastAsia="Times New Roman" w:cstheme="minorHAnsi"/>
                <w:b/>
                <w:szCs w:val="20"/>
                <w:lang w:eastAsia="en-GB"/>
              </w:rPr>
              <w:t xml:space="preserve">Control Measure: </w:t>
            </w:r>
            <w:r>
              <w:rPr>
                <w:rFonts w:eastAsia="Times New Roman" w:cstheme="minorHAnsi"/>
                <w:szCs w:val="20"/>
                <w:lang w:eastAsia="en-GB"/>
              </w:rPr>
              <w:t>Methods used for reducing the risk to ‘as low as reasonably practicable’. (i.e. substitution, isolation, l</w:t>
            </w:r>
            <w:r w:rsidR="004A1202">
              <w:rPr>
                <w:rFonts w:eastAsia="Times New Roman" w:cstheme="minorHAnsi"/>
                <w:szCs w:val="20"/>
                <w:lang w:eastAsia="en-GB"/>
              </w:rPr>
              <w:t>i</w:t>
            </w:r>
            <w:r>
              <w:rPr>
                <w:rFonts w:eastAsia="Times New Roman" w:cstheme="minorHAnsi"/>
                <w:szCs w:val="20"/>
                <w:lang w:eastAsia="en-GB"/>
              </w:rPr>
              <w:t>mit exposure, warning systems,)</w:t>
            </w:r>
          </w:p>
          <w:p w:rsidR="00F66722" w:rsidRDefault="00F66722" w:rsidP="00F66722">
            <w:pPr>
              <w:rPr>
                <w:rFonts w:eastAsia="Times New Roman" w:cstheme="minorHAnsi"/>
                <w:b/>
                <w:szCs w:val="20"/>
                <w:lang w:eastAsia="en-GB"/>
              </w:rPr>
            </w:pPr>
            <w:r>
              <w:rPr>
                <w:rFonts w:eastAsia="Times New Roman" w:cstheme="minorHAnsi"/>
                <w:b/>
                <w:szCs w:val="20"/>
                <w:lang w:eastAsia="en-GB"/>
              </w:rPr>
              <w:t>Conducting the Risk Assessment.</w:t>
            </w:r>
          </w:p>
          <w:p w:rsidR="00F66722" w:rsidRDefault="00F66722" w:rsidP="00F66722">
            <w:pPr>
              <w:rPr>
                <w:rFonts w:eastAsia="Times New Roman" w:cstheme="minorHAnsi"/>
                <w:szCs w:val="20"/>
                <w:lang w:eastAsia="en-GB"/>
              </w:rPr>
            </w:pPr>
            <w:r>
              <w:rPr>
                <w:rFonts w:eastAsia="Times New Roman" w:cstheme="minorHAnsi"/>
                <w:szCs w:val="20"/>
                <w:lang w:eastAsia="en-GB"/>
              </w:rPr>
              <w:t>The five steps to conducting a risk assessment are:</w:t>
            </w:r>
          </w:p>
          <w:p w:rsidR="00F66722" w:rsidRDefault="00F66722" w:rsidP="00F66722">
            <w:pPr>
              <w:pStyle w:val="ListParagraph"/>
              <w:numPr>
                <w:ilvl w:val="0"/>
                <w:numId w:val="2"/>
              </w:numPr>
              <w:rPr>
                <w:rFonts w:eastAsia="Times New Roman" w:cstheme="minorHAnsi"/>
                <w:szCs w:val="20"/>
                <w:lang w:eastAsia="en-GB"/>
              </w:rPr>
            </w:pPr>
            <w:r w:rsidRPr="00F96945">
              <w:rPr>
                <w:rFonts w:eastAsia="Times New Roman" w:cstheme="minorHAnsi"/>
                <w:b/>
                <w:szCs w:val="20"/>
                <w:lang w:eastAsia="en-GB"/>
              </w:rPr>
              <w:t>Indentify the hazards</w:t>
            </w:r>
            <w:r>
              <w:rPr>
                <w:rFonts w:eastAsia="Times New Roman" w:cstheme="minorHAnsi"/>
                <w:szCs w:val="20"/>
                <w:lang w:eastAsia="en-GB"/>
              </w:rPr>
              <w:t>. Systematically identify all significant hazards that exist from work activities. Assessor should consult with the staff who actually carry</w:t>
            </w:r>
            <w:r w:rsidR="00F96945">
              <w:rPr>
                <w:rFonts w:eastAsia="Times New Roman" w:cstheme="minorHAnsi"/>
                <w:szCs w:val="20"/>
                <w:lang w:eastAsia="en-GB"/>
              </w:rPr>
              <w:t xml:space="preserve">ing </w:t>
            </w:r>
            <w:r>
              <w:rPr>
                <w:rFonts w:eastAsia="Times New Roman" w:cstheme="minorHAnsi"/>
                <w:szCs w:val="20"/>
                <w:lang w:eastAsia="en-GB"/>
              </w:rPr>
              <w:t>out the activity.</w:t>
            </w:r>
          </w:p>
          <w:p w:rsidR="00F66722" w:rsidRDefault="00F66722" w:rsidP="00F66722">
            <w:pPr>
              <w:pStyle w:val="ListParagraph"/>
              <w:numPr>
                <w:ilvl w:val="0"/>
                <w:numId w:val="2"/>
              </w:numPr>
              <w:rPr>
                <w:rFonts w:eastAsia="Times New Roman" w:cstheme="minorHAnsi"/>
                <w:szCs w:val="20"/>
                <w:lang w:eastAsia="en-GB"/>
              </w:rPr>
            </w:pPr>
            <w:r w:rsidRPr="00F96945">
              <w:rPr>
                <w:rFonts w:eastAsia="Times New Roman" w:cstheme="minorHAnsi"/>
                <w:b/>
                <w:szCs w:val="20"/>
                <w:lang w:eastAsia="en-GB"/>
              </w:rPr>
              <w:t>Evaluate the Risk</w:t>
            </w:r>
            <w:r>
              <w:rPr>
                <w:rFonts w:eastAsia="Times New Roman" w:cstheme="minorHAnsi"/>
                <w:szCs w:val="20"/>
                <w:lang w:eastAsia="en-GB"/>
              </w:rPr>
              <w:t>. Identify the likelihood of harm actually occurring and the severity of likely injury/damage to occur. Identify the people who could be affected.</w:t>
            </w:r>
          </w:p>
          <w:p w:rsidR="00F66722" w:rsidRDefault="00F66722" w:rsidP="00F66722">
            <w:pPr>
              <w:pStyle w:val="ListParagraph"/>
              <w:numPr>
                <w:ilvl w:val="0"/>
                <w:numId w:val="2"/>
              </w:numPr>
              <w:rPr>
                <w:rFonts w:eastAsia="Times New Roman" w:cstheme="minorHAnsi"/>
                <w:szCs w:val="20"/>
                <w:lang w:eastAsia="en-GB"/>
              </w:rPr>
            </w:pPr>
            <w:r w:rsidRPr="00F96945">
              <w:rPr>
                <w:rFonts w:eastAsia="Times New Roman" w:cstheme="minorHAnsi"/>
                <w:b/>
                <w:szCs w:val="20"/>
                <w:lang w:eastAsia="en-GB"/>
              </w:rPr>
              <w:t>Implementing control measures</w:t>
            </w:r>
            <w:r>
              <w:rPr>
                <w:rFonts w:eastAsia="Times New Roman" w:cstheme="minorHAnsi"/>
                <w:szCs w:val="20"/>
                <w:lang w:eastAsia="en-GB"/>
              </w:rPr>
              <w:t>. Remove the hazard or control its possible impact.</w:t>
            </w:r>
          </w:p>
          <w:p w:rsidR="00F66722" w:rsidRDefault="00F66722" w:rsidP="00F66722">
            <w:pPr>
              <w:pStyle w:val="ListParagraph"/>
              <w:numPr>
                <w:ilvl w:val="0"/>
                <w:numId w:val="2"/>
              </w:numPr>
              <w:rPr>
                <w:rFonts w:eastAsia="Times New Roman" w:cstheme="minorHAnsi"/>
                <w:szCs w:val="20"/>
                <w:lang w:eastAsia="en-GB"/>
              </w:rPr>
            </w:pPr>
            <w:r w:rsidRPr="00F96945">
              <w:rPr>
                <w:rFonts w:eastAsia="Times New Roman" w:cstheme="minorHAnsi"/>
                <w:b/>
                <w:szCs w:val="20"/>
                <w:lang w:eastAsia="en-GB"/>
              </w:rPr>
              <w:t>Recording the findings</w:t>
            </w:r>
            <w:r>
              <w:rPr>
                <w:rFonts w:eastAsia="Times New Roman" w:cstheme="minorHAnsi"/>
                <w:szCs w:val="20"/>
                <w:lang w:eastAsia="en-GB"/>
              </w:rPr>
              <w:t>. Record all significant findings</w:t>
            </w:r>
            <w:r w:rsidR="00F96945">
              <w:rPr>
                <w:rFonts w:eastAsia="Times New Roman" w:cstheme="minorHAnsi"/>
                <w:szCs w:val="20"/>
                <w:lang w:eastAsia="en-GB"/>
              </w:rPr>
              <w:t xml:space="preserve"> e.g. it is not necessary to record the possibility that someone might slip on a clean, dry, level floor. Findings of the assessment must be communicated to affected personnel.</w:t>
            </w:r>
          </w:p>
          <w:p w:rsidR="00F96945" w:rsidRPr="00F66722" w:rsidRDefault="00F96945" w:rsidP="00F66722">
            <w:pPr>
              <w:pStyle w:val="ListParagraph"/>
              <w:numPr>
                <w:ilvl w:val="0"/>
                <w:numId w:val="2"/>
              </w:numPr>
              <w:rPr>
                <w:rFonts w:eastAsia="Times New Roman" w:cstheme="minorHAnsi"/>
                <w:szCs w:val="20"/>
                <w:lang w:eastAsia="en-GB"/>
              </w:rPr>
            </w:pPr>
            <w:r w:rsidRPr="00F96945">
              <w:rPr>
                <w:rFonts w:eastAsia="Times New Roman" w:cstheme="minorHAnsi"/>
                <w:b/>
                <w:szCs w:val="20"/>
                <w:lang w:eastAsia="en-GB"/>
              </w:rPr>
              <w:t>Monitoring and reviewing the assessment</w:t>
            </w:r>
            <w:r>
              <w:rPr>
                <w:rFonts w:eastAsia="Times New Roman" w:cstheme="minorHAnsi"/>
                <w:szCs w:val="20"/>
                <w:lang w:eastAsia="en-GB"/>
              </w:rPr>
              <w:t>. Risk assessments shall be reviewed annually and when there is a change in circumstances, such as new equipment or implementation of control measures.</w:t>
            </w:r>
          </w:p>
          <w:p w:rsidR="00546546" w:rsidRPr="000A2246" w:rsidRDefault="00546546" w:rsidP="00395660">
            <w:pPr>
              <w:rPr>
                <w:rFonts w:cstheme="minorHAnsi"/>
                <w:szCs w:val="20"/>
              </w:rPr>
            </w:pPr>
          </w:p>
        </w:tc>
      </w:tr>
    </w:tbl>
    <w:p w:rsidR="00546546" w:rsidRPr="000A2246" w:rsidRDefault="00546546" w:rsidP="00546546">
      <w:pPr>
        <w:jc w:val="center"/>
        <w:rPr>
          <w:rFonts w:cstheme="minorHAnsi"/>
          <w:sz w:val="20"/>
          <w:szCs w:val="2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Pr="00546546" w:rsidRDefault="00546546" w:rsidP="00546546">
      <w:pPr>
        <w:rPr>
          <w:sz w:val="40"/>
        </w:rPr>
      </w:pPr>
    </w:p>
    <w:p w:rsidR="00546546" w:rsidRDefault="00546546" w:rsidP="00546546">
      <w:pP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Default="00546546" w:rsidP="00546546">
      <w:pPr>
        <w:jc w:val="center"/>
        <w:rPr>
          <w:sz w:val="40"/>
        </w:rPr>
      </w:pPr>
    </w:p>
    <w:p w:rsidR="00546546" w:rsidRPr="00546546" w:rsidRDefault="00546546" w:rsidP="00546546">
      <w:pPr>
        <w:jc w:val="center"/>
        <w:rPr>
          <w:sz w:val="40"/>
        </w:rPr>
      </w:pPr>
    </w:p>
    <w:sectPr w:rsidR="00546546" w:rsidRPr="00546546" w:rsidSect="00546546">
      <w:headerReference w:type="default" r:id="rId9"/>
      <w:footerReference w:type="default" r:id="rId10"/>
      <w:pgSz w:w="11906" w:h="16838"/>
      <w:pgMar w:top="1440" w:right="1440" w:bottom="1440" w:left="1440"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87" w:rsidRDefault="00053987" w:rsidP="00546546">
      <w:pPr>
        <w:spacing w:line="240" w:lineRule="auto"/>
      </w:pPr>
      <w:r>
        <w:separator/>
      </w:r>
    </w:p>
  </w:endnote>
  <w:endnote w:type="continuationSeparator" w:id="0">
    <w:p w:rsidR="00053987" w:rsidRDefault="00053987" w:rsidP="005465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46" w:rsidRDefault="00546546" w:rsidP="00546546">
    <w:pPr>
      <w:pStyle w:val="Footer"/>
      <w:jc w:val="center"/>
    </w:pPr>
    <w:r>
      <w:t xml:space="preserve">Overton </w:t>
    </w:r>
    <w:proofErr w:type="spellStart"/>
    <w:r>
      <w:t>Playcentre</w:t>
    </w:r>
    <w:proofErr w:type="spellEnd"/>
  </w:p>
  <w:p w:rsidR="00546546" w:rsidRDefault="00546546" w:rsidP="00546546">
    <w:pPr>
      <w:pStyle w:val="Footer"/>
      <w:jc w:val="center"/>
    </w:pPr>
    <w:r>
      <w:t>School Lane, Overton On Dee, Wrexham, LL13 0SE</w:t>
    </w:r>
  </w:p>
  <w:p w:rsidR="00546546" w:rsidRDefault="00546546" w:rsidP="00546546">
    <w:pPr>
      <w:pStyle w:val="Footer"/>
      <w:jc w:val="center"/>
    </w:pPr>
    <w:r>
      <w:t>Registered Charity Number 701478</w:t>
    </w:r>
  </w:p>
  <w:p w:rsidR="00546546" w:rsidRDefault="00546546" w:rsidP="005465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87" w:rsidRDefault="00053987" w:rsidP="00546546">
      <w:pPr>
        <w:spacing w:line="240" w:lineRule="auto"/>
      </w:pPr>
      <w:r>
        <w:separator/>
      </w:r>
    </w:p>
  </w:footnote>
  <w:footnote w:type="continuationSeparator" w:id="0">
    <w:p w:rsidR="00053987" w:rsidRDefault="00053987" w:rsidP="005465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46" w:rsidRDefault="00546546">
    <w:pPr>
      <w:pStyle w:val="Header"/>
    </w:pPr>
    <w:r>
      <w:t>Feb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6BD"/>
    <w:multiLevelType w:val="hybridMultilevel"/>
    <w:tmpl w:val="42F05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F54A0"/>
    <w:multiLevelType w:val="hybridMultilevel"/>
    <w:tmpl w:val="71BA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1CC5"/>
    <w:rsid w:val="00053987"/>
    <w:rsid w:val="000A2246"/>
    <w:rsid w:val="00291CC5"/>
    <w:rsid w:val="004A1202"/>
    <w:rsid w:val="00546546"/>
    <w:rsid w:val="007F2E97"/>
    <w:rsid w:val="00C45E78"/>
    <w:rsid w:val="00DD004F"/>
    <w:rsid w:val="00F66722"/>
    <w:rsid w:val="00F96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C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5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46"/>
    <w:rPr>
      <w:rFonts w:ascii="Tahoma" w:hAnsi="Tahoma" w:cs="Tahoma"/>
      <w:sz w:val="16"/>
      <w:szCs w:val="16"/>
    </w:rPr>
  </w:style>
  <w:style w:type="paragraph" w:styleId="Header">
    <w:name w:val="header"/>
    <w:basedOn w:val="Normal"/>
    <w:link w:val="HeaderChar"/>
    <w:uiPriority w:val="99"/>
    <w:semiHidden/>
    <w:unhideWhenUsed/>
    <w:rsid w:val="0054654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46546"/>
  </w:style>
  <w:style w:type="paragraph" w:styleId="Footer">
    <w:name w:val="footer"/>
    <w:basedOn w:val="Normal"/>
    <w:link w:val="FooterChar"/>
    <w:uiPriority w:val="99"/>
    <w:semiHidden/>
    <w:unhideWhenUsed/>
    <w:rsid w:val="0054654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46546"/>
  </w:style>
  <w:style w:type="paragraph" w:styleId="ListParagraph">
    <w:name w:val="List Paragraph"/>
    <w:basedOn w:val="Normal"/>
    <w:uiPriority w:val="34"/>
    <w:qFormat/>
    <w:rsid w:val="000A2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40B97-E6D1-4D62-B215-68031550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2</cp:revision>
  <dcterms:created xsi:type="dcterms:W3CDTF">2011-09-27T21:27:00Z</dcterms:created>
  <dcterms:modified xsi:type="dcterms:W3CDTF">2012-02-21T20:47:00Z</dcterms:modified>
</cp:coreProperties>
</file>